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</w:t>
      </w:r>
      <w:r w:rsidR="004A3262">
        <w:rPr>
          <w:sz w:val="24"/>
          <w:szCs w:val="24"/>
        </w:rPr>
        <w:t>«О районном бюджете муниципального обр</w:t>
      </w:r>
      <w:r w:rsidR="004A3262">
        <w:rPr>
          <w:sz w:val="24"/>
          <w:szCs w:val="24"/>
        </w:rPr>
        <w:t>а</w:t>
      </w:r>
      <w:r w:rsidR="004A3262">
        <w:rPr>
          <w:sz w:val="24"/>
          <w:szCs w:val="24"/>
        </w:rPr>
        <w:t xml:space="preserve">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D0482D">
        <w:rPr>
          <w:sz w:val="24"/>
          <w:szCs w:val="24"/>
        </w:rPr>
        <w:t>2</w:t>
      </w:r>
      <w:r w:rsidRPr="00A732AC">
        <w:rPr>
          <w:sz w:val="24"/>
          <w:szCs w:val="24"/>
        </w:rPr>
        <w:t xml:space="preserve"> и плановый период 202</w:t>
      </w:r>
      <w:r w:rsidR="00D0482D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и 202</w:t>
      </w:r>
      <w:r w:rsidR="00D0482D">
        <w:rPr>
          <w:sz w:val="24"/>
          <w:szCs w:val="24"/>
        </w:rPr>
        <w:t>4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923DE2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F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71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3DE2" w:rsidRPr="009709AF" w:rsidRDefault="006D2771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DE2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96C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C65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C65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94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FF67E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9423B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9423B8" w:rsidP="001A6D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1A6D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1A6D5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1A6D5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2 037,0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1A6D54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+1 921,0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1A6D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6D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40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A6D54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D54">
        <w:rPr>
          <w:rFonts w:ascii="Times New Roman" w:eastAsia="Times New Roman" w:hAnsi="Times New Roman" w:cs="Times New Roman"/>
          <w:sz w:val="24"/>
          <w:szCs w:val="24"/>
          <w:lang w:eastAsia="ru-RU"/>
        </w:rPr>
        <w:t>116,0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1A6D54">
        <w:rPr>
          <w:rFonts w:ascii="Times New Roman" w:eastAsia="Times New Roman" w:hAnsi="Times New Roman" w:cs="Times New Roman"/>
          <w:sz w:val="24"/>
          <w:szCs w:val="24"/>
          <w:lang w:eastAsia="ru-RU"/>
        </w:rPr>
        <w:t>0,02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вят </w:t>
      </w:r>
      <w:r w:rsidR="001A6D54">
        <w:rPr>
          <w:rFonts w:ascii="Times New Roman" w:eastAsia="Times New Roman" w:hAnsi="Times New Roman" w:cs="Times New Roman"/>
          <w:sz w:val="24"/>
          <w:szCs w:val="24"/>
          <w:lang w:eastAsia="ru-RU"/>
        </w:rPr>
        <w:t>692 384,9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5F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2 037,0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0,29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716 079,3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1 921,0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1D">
        <w:rPr>
          <w:rFonts w:ascii="Times New Roman" w:eastAsia="Times New Roman" w:hAnsi="Times New Roman" w:cs="Times New Roman"/>
          <w:sz w:val="24"/>
          <w:szCs w:val="24"/>
          <w:lang w:eastAsia="ru-RU"/>
        </w:rPr>
        <w:t>23 694,4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51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2519C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2519C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6A1B20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692 384,9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2519C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489 593,9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736707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503 521,4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6A1B20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716 079,3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1304E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489 593,9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1304E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503 521,4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6A1B20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23 694,4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1304E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1304E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630CFE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519C6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2519C6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519C6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920B0A" w:rsidRDefault="00FD2031" w:rsidP="002B0C3A">
      <w:pPr>
        <w:jc w:val="both"/>
        <w:rPr>
          <w:rFonts w:ascii="Times New Roman" w:hAnsi="Times New Roman"/>
          <w:bCs/>
          <w:sz w:val="24"/>
          <w:szCs w:val="24"/>
        </w:rPr>
      </w:pPr>
      <w:r w:rsidRPr="00630CFE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630CFE">
        <w:rPr>
          <w:rFonts w:ascii="Times New Roman" w:hAnsi="Times New Roman"/>
          <w:bCs/>
          <w:sz w:val="24"/>
          <w:szCs w:val="24"/>
        </w:rPr>
        <w:t xml:space="preserve">(налоговые доходы, неналоговые доходы) </w:t>
      </w:r>
      <w:r w:rsidR="00763230" w:rsidRPr="00630CFE">
        <w:rPr>
          <w:rFonts w:ascii="Times New Roman" w:hAnsi="Times New Roman"/>
          <w:bCs/>
          <w:sz w:val="24"/>
          <w:szCs w:val="24"/>
        </w:rPr>
        <w:t>в 202</w:t>
      </w:r>
      <w:r w:rsidR="00E2750D" w:rsidRPr="00630CFE">
        <w:rPr>
          <w:rFonts w:ascii="Times New Roman" w:hAnsi="Times New Roman"/>
          <w:bCs/>
          <w:sz w:val="24"/>
          <w:szCs w:val="24"/>
        </w:rPr>
        <w:t>2</w:t>
      </w:r>
      <w:r w:rsidR="00763230" w:rsidRPr="00630CFE">
        <w:rPr>
          <w:rFonts w:ascii="Times New Roman" w:hAnsi="Times New Roman"/>
          <w:bCs/>
          <w:sz w:val="24"/>
          <w:szCs w:val="24"/>
        </w:rPr>
        <w:t xml:space="preserve"> году </w:t>
      </w:r>
      <w:r w:rsidR="00D17976">
        <w:rPr>
          <w:rFonts w:ascii="Times New Roman" w:hAnsi="Times New Roman"/>
          <w:bCs/>
          <w:sz w:val="24"/>
          <w:szCs w:val="24"/>
        </w:rPr>
        <w:t>уменьшатся</w:t>
      </w:r>
      <w:r w:rsidR="008C09C4">
        <w:rPr>
          <w:rFonts w:ascii="Times New Roman" w:hAnsi="Times New Roman"/>
          <w:bCs/>
          <w:sz w:val="24"/>
          <w:szCs w:val="24"/>
        </w:rPr>
        <w:t xml:space="preserve"> на 71,0 тыс. рублей и </w:t>
      </w:r>
      <w:r w:rsidR="00322048" w:rsidRPr="00630CFE">
        <w:rPr>
          <w:rFonts w:ascii="Times New Roman" w:hAnsi="Times New Roman"/>
          <w:bCs/>
          <w:sz w:val="24"/>
          <w:szCs w:val="24"/>
        </w:rPr>
        <w:t xml:space="preserve">составят </w:t>
      </w:r>
      <w:r w:rsidR="00920B0A">
        <w:rPr>
          <w:rFonts w:ascii="Times New Roman" w:hAnsi="Times New Roman"/>
          <w:bCs/>
          <w:sz w:val="24"/>
          <w:szCs w:val="24"/>
        </w:rPr>
        <w:t>164 688,2</w:t>
      </w:r>
      <w:r w:rsidRPr="00630CF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920B0A">
        <w:rPr>
          <w:rFonts w:ascii="Times New Roman" w:hAnsi="Times New Roman"/>
          <w:bCs/>
          <w:sz w:val="24"/>
          <w:szCs w:val="24"/>
        </w:rPr>
        <w:t>лей, их них</w:t>
      </w:r>
      <w:r w:rsidR="00920B0A" w:rsidRPr="00920B0A">
        <w:rPr>
          <w:rFonts w:ascii="Times New Roman" w:hAnsi="Times New Roman"/>
          <w:bCs/>
          <w:sz w:val="24"/>
          <w:szCs w:val="24"/>
        </w:rPr>
        <w:t>:</w:t>
      </w:r>
    </w:p>
    <w:p w:rsidR="00920B0A" w:rsidRDefault="00920B0A" w:rsidP="002B0C3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Налоговые доходы</w:t>
      </w:r>
      <w:r w:rsidRPr="00920B0A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Доходы от Единого сельскохозяйственного налога сократятся на 1 921,0 тыс. рублей, Доходы от </w:t>
      </w:r>
      <w:proofErr w:type="gramStart"/>
      <w:r>
        <w:rPr>
          <w:rFonts w:ascii="Times New Roman" w:hAnsi="Times New Roman"/>
          <w:bCs/>
          <w:sz w:val="24"/>
          <w:szCs w:val="24"/>
        </w:rPr>
        <w:t>единого налога, взимаемого с прим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нением упрощенной системы налогообложения сократится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2 000,0 тыс. рублей, Государственная п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шлина сократится на 283,0 тыс. рублей</w:t>
      </w:r>
      <w:r w:rsidR="00630CFE" w:rsidRPr="00630CFE">
        <w:rPr>
          <w:rFonts w:ascii="Times New Roman" w:hAnsi="Times New Roman"/>
          <w:bCs/>
          <w:sz w:val="24"/>
          <w:szCs w:val="24"/>
        </w:rPr>
        <w:t xml:space="preserve">. </w:t>
      </w:r>
    </w:p>
    <w:p w:rsidR="002B0C3A" w:rsidRPr="00920B0A" w:rsidRDefault="00920B0A" w:rsidP="002B0C3A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 Неналоговые доходы</w:t>
      </w:r>
      <w:r w:rsidRPr="00920B0A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Доходы от сдачи в аренду имущества, находящегося</w:t>
      </w:r>
      <w:r w:rsidR="00D8427A">
        <w:rPr>
          <w:rFonts w:ascii="Times New Roman" w:hAnsi="Times New Roman"/>
          <w:bCs/>
          <w:sz w:val="24"/>
          <w:szCs w:val="24"/>
        </w:rPr>
        <w:t xml:space="preserve"> в операти</w:t>
      </w:r>
      <w:r w:rsidR="00D8427A">
        <w:rPr>
          <w:rFonts w:ascii="Times New Roman" w:hAnsi="Times New Roman"/>
          <w:bCs/>
          <w:sz w:val="24"/>
          <w:szCs w:val="24"/>
        </w:rPr>
        <w:t>в</w:t>
      </w:r>
      <w:r w:rsidR="00D8427A">
        <w:rPr>
          <w:rFonts w:ascii="Times New Roman" w:hAnsi="Times New Roman"/>
          <w:bCs/>
          <w:sz w:val="24"/>
          <w:szCs w:val="24"/>
        </w:rPr>
        <w:t>ном управлении увеличатся на 300,0 тыс. рублей, Плата за негативное воздействие на окружающую среду сократится на 138,0 тыс. рублей, Прочие доходы от оказания платных услуг увеличатся на 2 057,0 тыс. рублей, Доходы от реализации имущества, находящегося в собственности МО увеличатся на 927,0 тыс. рублей, Доходы от продажи земельных участков увеличатся на 2</w:t>
      </w:r>
      <w:proofErr w:type="gramEnd"/>
      <w:r w:rsidR="00D8427A">
        <w:rPr>
          <w:rFonts w:ascii="Times New Roman" w:hAnsi="Times New Roman"/>
          <w:bCs/>
          <w:sz w:val="24"/>
          <w:szCs w:val="24"/>
        </w:rPr>
        <w:t> 229,8 тыс. рублей, штрафы сократятся на 1 265,0 тыс. рублей.</w:t>
      </w:r>
    </w:p>
    <w:p w:rsidR="00DC1E46" w:rsidRPr="000F2749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1722AF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увеличатся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22AF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D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187,0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AD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527 696,7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  <w:r w:rsidR="00CA0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</w:t>
      </w:r>
      <w:r w:rsidR="00DC1E46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r w:rsidR="00AD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187,0</w:t>
      </w:r>
      <w:r w:rsidR="00DC1E46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A4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A4680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0CA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2 037,0</w:t>
      </w:r>
      <w:r w:rsidR="0060265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A10CA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716 079,3</w:t>
      </w:r>
      <w:bookmarkStart w:id="0" w:name="_GoBack"/>
      <w:bookmarkEnd w:id="0"/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3351" w:rsidRDefault="00813351" w:rsidP="00813351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3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60265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03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 987,3</w:t>
      </w:r>
      <w:r w:rsidR="0060265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тыс. рублей и составят с учетом изменений </w:t>
      </w:r>
      <w:r w:rsidR="00CA03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68 374,6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251D" w:rsidRDefault="00CB251D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CB251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рование местных администраций» </w:t>
      </w:r>
      <w:r w:rsidR="00CA03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+96,0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91DFD" w:rsidRP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101,9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A91D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A91DFD" w:rsidRPr="00A91DFD">
        <w:t xml:space="preserve"> </w:t>
      </w:r>
      <w:r w:rsidR="00812167">
        <w:rPr>
          <w:rFonts w:ascii="Times New Roman" w:hAnsi="Times New Roman" w:cs="Times New Roman"/>
          <w:sz w:val="24"/>
          <w:szCs w:val="24"/>
        </w:rPr>
        <w:t>на материальные расходы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198,0</w:t>
      </w:r>
      <w:r w:rsidR="006026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расходы 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топливно-энергетические р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8121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сурсы</w:t>
      </w:r>
      <w:r w:rsidRPr="00CB25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416E0" w:rsidRPr="0017382B" w:rsidRDefault="002416E0" w:rsidP="00813351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 w:rsidRP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030611" w:rsidRP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E3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01 11</w:t>
      </w:r>
      <w:r w:rsidRP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«Резервные фонды» </w:t>
      </w:r>
      <w:r w:rsidR="00EB3F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+60</w:t>
      </w:r>
      <w:r w:rsidR="00D903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</w:t>
      </w:r>
      <w:r w:rsidR="008F6E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8F6E3E" w:rsidRP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F646E1" w:rsidRDefault="00F646E1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C451C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46E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01 13 </w:t>
      </w:r>
      <w:r w:rsidRPr="00F646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общегосударственные расходы»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EB3F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1 950,7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6B778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F35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442B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80,7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м</w:t>
      </w:r>
      <w:r w:rsid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териальные расходы</w:t>
      </w:r>
      <w:r w:rsidR="00EF35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5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+20</w:t>
      </w:r>
      <w:r w:rsidR="00251D1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442B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иные выплаты населению, + 1 850,0 тыс. рублей увеличение уставных фондов муниципальных унитарных предприятий</w:t>
      </w:r>
      <w:r w:rsidR="001738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251D1B" w:rsidRDefault="00251D1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5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му </w:t>
      </w:r>
      <w:r w:rsidR="004C35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324,3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4C35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48 942,5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C6B84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22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02 «</w:t>
      </w:r>
      <w:r w:rsidRPr="0064225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+</w:t>
      </w:r>
      <w:r w:rsidR="004C35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324,3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руб. 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адресную инвестиционную пр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грамму Троицкого района. </w:t>
      </w:r>
    </w:p>
    <w:p w:rsidR="00126BAB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</w:t>
      </w:r>
      <w:r w:rsidR="00936E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сокращения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936E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696,8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ставят с учетом изменений </w:t>
      </w:r>
      <w:r w:rsidR="00936EA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455 073,8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995914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233,0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773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102,1</w:t>
      </w:r>
      <w:r w:rsidR="003773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по муниципальной программе, +102,1 тыс. рублей на обеспечение противопожарной бе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опасности, + 235,1 тыс. рублей на расчеты за топливно-энергетические ресурсы).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«Общее образование» -929,8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CF37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22608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(+166,7 тыс. рублей разработка ПСД </w:t>
      </w:r>
      <w:proofErr w:type="spellStart"/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ловская</w:t>
      </w:r>
      <w:proofErr w:type="spellEnd"/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-28,2 тыс. рублей ремонт </w:t>
      </w:r>
      <w:proofErr w:type="spellStart"/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Вершиниская</w:t>
      </w:r>
      <w:proofErr w:type="spellEnd"/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-198,3 тыс. рублей </w:t>
      </w:r>
      <w:r w:rsidR="0065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по</w:t>
      </w:r>
      <w:r w:rsidR="0065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65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программе «Развитие общего образования в Троицком районе»</w:t>
      </w:r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+209,1 тыс. рублей обе</w:t>
      </w:r>
      <w:r w:rsidR="0065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651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печение противопожарной безопасности, -1 078,7 тыс. рублей расчеты за топливно-энергетические ресурсы)</w:t>
      </w:r>
      <w:r w:rsidR="0007641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7ED5" w:rsidRPr="00126BAB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кинематография»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ED731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42,3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ED731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44 821,8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A02168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</w:t>
      </w:r>
      <w:r w:rsidR="001609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01 </w:t>
      </w:r>
      <w:r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160976"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42,3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(-2,1</w:t>
      </w:r>
      <w:r w:rsidR="00175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подпрограмма «Организация дос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га населения»</w:t>
      </w:r>
      <w:r w:rsidR="00540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5132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 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11,1</w:t>
      </w:r>
      <w:r w:rsidR="001750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расчеты за топливно-энергетические ресурсы, + 1400,0 тыс. рублей субсидии учреждениям, -1 200,0 тыс. рублей </w:t>
      </w:r>
      <w:r w:rsidR="005132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ремонт ТМКЦ, 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- 169,7</w:t>
      </w:r>
      <w:r w:rsidR="008623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8623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8623F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</w:t>
      </w:r>
      <w:r w:rsidR="00ED731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ремонт музей</w:t>
      </w:r>
      <w:r w:rsidR="004370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+3,0 тыс. рублей выборочный ремонт ДК в </w:t>
      </w:r>
      <w:proofErr w:type="spellStart"/>
      <w:r w:rsidR="004370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4370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43709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оровлянка</w:t>
      </w:r>
      <w:proofErr w:type="spellEnd"/>
      <w:r w:rsidR="00540C7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A02168" w:rsidRDefault="00A02168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23F73" w:rsidRPr="00D21530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Социальная политика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AA5B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60,0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1377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28 222,7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61689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7B2E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23F73" w:rsidRP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097B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97B2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обеспечение населения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+ </w:t>
      </w:r>
      <w:r w:rsidR="00AA5B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60,0</w:t>
      </w:r>
      <w:r w:rsidR="00EA0D9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AA5B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5616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социальное обеспечение и выплаты населению.</w:t>
      </w:r>
    </w:p>
    <w:p w:rsidR="00AF298C" w:rsidRDefault="00AF298C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F298C" w:rsidRDefault="00AF298C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11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 и спорт»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</w:t>
      </w:r>
      <w:r w:rsidR="00BF09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319,9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 учетом изменений составят </w:t>
      </w:r>
      <w:r w:rsidR="00BF09D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11 577,2</w:t>
      </w:r>
      <w:r w:rsid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="004C6E33"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F09D8" w:rsidRPr="00BF09D8" w:rsidRDefault="00BF09D8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- 11 03 «</w:t>
      </w:r>
      <w:r w:rsidRPr="00BF09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Спорт высших достижений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 +</w:t>
      </w:r>
      <w:r w:rsidRPr="00BF09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188,9 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субсидии бюджетным учрежд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ниям</w:t>
      </w:r>
      <w:r w:rsidRPr="00BF09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C6E33" w:rsidRDefault="004C6E3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6E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-11 05 </w:t>
      </w:r>
      <w:r w:rsidRPr="004C6E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вопросы в области физической культуры»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BF09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131,0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0E6F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субсидии бюджетным учреждениям</w:t>
      </w:r>
      <w:r w:rsidR="00E146B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расчеты за топливно-энергетические ресурсы</w:t>
      </w:r>
      <w:r w:rsidR="000E6F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F1F05" w:rsidRDefault="002F1F0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A40CBD" w:rsidRPr="00902979" w:rsidRDefault="00A40CBD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увеличится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3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1 921,0</w:t>
      </w:r>
      <w:r w:rsidR="0078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23 694,4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финансового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</w:t>
      </w:r>
      <w:r w:rsidR="00F6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 установле</w:t>
      </w:r>
      <w:r w:rsidR="00F6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60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предел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92.1 п. 3 Бюджетного кодекса Российской Федерации. </w:t>
      </w:r>
    </w:p>
    <w:p w:rsidR="006C7EEE" w:rsidRPr="00902979" w:rsidRDefault="007460D4" w:rsidP="00257C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Троицкий муниципальный район Алтайского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87056A" w:rsidRDefault="0087056A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lastRenderedPageBreak/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0C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30E7"/>
    <w:rsid w:val="00030611"/>
    <w:rsid w:val="00036E47"/>
    <w:rsid w:val="00040A93"/>
    <w:rsid w:val="00046161"/>
    <w:rsid w:val="00050795"/>
    <w:rsid w:val="000546A5"/>
    <w:rsid w:val="00057527"/>
    <w:rsid w:val="00070B45"/>
    <w:rsid w:val="00074543"/>
    <w:rsid w:val="00076411"/>
    <w:rsid w:val="00077A0C"/>
    <w:rsid w:val="00081F95"/>
    <w:rsid w:val="00082BD6"/>
    <w:rsid w:val="000964EE"/>
    <w:rsid w:val="00097B2E"/>
    <w:rsid w:val="000B0502"/>
    <w:rsid w:val="000B10CE"/>
    <w:rsid w:val="000B256B"/>
    <w:rsid w:val="000B3D9A"/>
    <w:rsid w:val="000B682E"/>
    <w:rsid w:val="000C1EC2"/>
    <w:rsid w:val="000D2D13"/>
    <w:rsid w:val="000D62DB"/>
    <w:rsid w:val="000E05FB"/>
    <w:rsid w:val="000E65DD"/>
    <w:rsid w:val="000E6F5D"/>
    <w:rsid w:val="000F2749"/>
    <w:rsid w:val="00101552"/>
    <w:rsid w:val="00107378"/>
    <w:rsid w:val="00111EE5"/>
    <w:rsid w:val="00116823"/>
    <w:rsid w:val="00117185"/>
    <w:rsid w:val="0012564F"/>
    <w:rsid w:val="0012604C"/>
    <w:rsid w:val="00126BAB"/>
    <w:rsid w:val="001304EA"/>
    <w:rsid w:val="001377A4"/>
    <w:rsid w:val="001377E9"/>
    <w:rsid w:val="00147E95"/>
    <w:rsid w:val="001513A2"/>
    <w:rsid w:val="00154A86"/>
    <w:rsid w:val="001554D9"/>
    <w:rsid w:val="00156104"/>
    <w:rsid w:val="00160976"/>
    <w:rsid w:val="00163BAF"/>
    <w:rsid w:val="00166360"/>
    <w:rsid w:val="0017091A"/>
    <w:rsid w:val="00171066"/>
    <w:rsid w:val="001722AF"/>
    <w:rsid w:val="0017382B"/>
    <w:rsid w:val="00175013"/>
    <w:rsid w:val="00183A63"/>
    <w:rsid w:val="00183D16"/>
    <w:rsid w:val="00185FEA"/>
    <w:rsid w:val="00197D0C"/>
    <w:rsid w:val="001A6D54"/>
    <w:rsid w:val="001B41CA"/>
    <w:rsid w:val="001B4555"/>
    <w:rsid w:val="001C68AA"/>
    <w:rsid w:val="001C7ED5"/>
    <w:rsid w:val="001D1700"/>
    <w:rsid w:val="001D643D"/>
    <w:rsid w:val="001E04BB"/>
    <w:rsid w:val="001E1877"/>
    <w:rsid w:val="001E1CB4"/>
    <w:rsid w:val="001E1F2A"/>
    <w:rsid w:val="001E4C84"/>
    <w:rsid w:val="001E7193"/>
    <w:rsid w:val="001F2761"/>
    <w:rsid w:val="001F4CC0"/>
    <w:rsid w:val="00211446"/>
    <w:rsid w:val="0021494E"/>
    <w:rsid w:val="002154CD"/>
    <w:rsid w:val="0022115D"/>
    <w:rsid w:val="00221F10"/>
    <w:rsid w:val="00223F73"/>
    <w:rsid w:val="00224D82"/>
    <w:rsid w:val="00225FC4"/>
    <w:rsid w:val="0022608C"/>
    <w:rsid w:val="0023489F"/>
    <w:rsid w:val="00237AE9"/>
    <w:rsid w:val="00240970"/>
    <w:rsid w:val="00240F01"/>
    <w:rsid w:val="002416E0"/>
    <w:rsid w:val="00242AC1"/>
    <w:rsid w:val="00245CA5"/>
    <w:rsid w:val="002519C6"/>
    <w:rsid w:val="00251D1B"/>
    <w:rsid w:val="00257CC5"/>
    <w:rsid w:val="00261BF7"/>
    <w:rsid w:val="00263316"/>
    <w:rsid w:val="00270B08"/>
    <w:rsid w:val="00272200"/>
    <w:rsid w:val="00272D14"/>
    <w:rsid w:val="00281A0E"/>
    <w:rsid w:val="00284A62"/>
    <w:rsid w:val="002B0C3A"/>
    <w:rsid w:val="002B1247"/>
    <w:rsid w:val="002C1688"/>
    <w:rsid w:val="002C2F99"/>
    <w:rsid w:val="002C36A8"/>
    <w:rsid w:val="002C654E"/>
    <w:rsid w:val="002E0084"/>
    <w:rsid w:val="002F1F05"/>
    <w:rsid w:val="002F7111"/>
    <w:rsid w:val="002F7BA7"/>
    <w:rsid w:val="0030259D"/>
    <w:rsid w:val="0031108B"/>
    <w:rsid w:val="003122CC"/>
    <w:rsid w:val="0031351E"/>
    <w:rsid w:val="003175B8"/>
    <w:rsid w:val="00321D91"/>
    <w:rsid w:val="00322048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77368"/>
    <w:rsid w:val="00381A55"/>
    <w:rsid w:val="0038236F"/>
    <w:rsid w:val="0038588C"/>
    <w:rsid w:val="003870B4"/>
    <w:rsid w:val="003971C2"/>
    <w:rsid w:val="003A0CC2"/>
    <w:rsid w:val="003B3536"/>
    <w:rsid w:val="003C278F"/>
    <w:rsid w:val="003C2B11"/>
    <w:rsid w:val="003C5FB7"/>
    <w:rsid w:val="003D04B4"/>
    <w:rsid w:val="003D0898"/>
    <w:rsid w:val="003D0ADC"/>
    <w:rsid w:val="003D31D9"/>
    <w:rsid w:val="003E5A44"/>
    <w:rsid w:val="003E7125"/>
    <w:rsid w:val="003F035D"/>
    <w:rsid w:val="003F0F4D"/>
    <w:rsid w:val="00412D15"/>
    <w:rsid w:val="00413F01"/>
    <w:rsid w:val="00417E40"/>
    <w:rsid w:val="00427DCA"/>
    <w:rsid w:val="00427FF3"/>
    <w:rsid w:val="004302E3"/>
    <w:rsid w:val="00432599"/>
    <w:rsid w:val="00434D4D"/>
    <w:rsid w:val="00437095"/>
    <w:rsid w:val="0044217F"/>
    <w:rsid w:val="00442B16"/>
    <w:rsid w:val="004463CB"/>
    <w:rsid w:val="00454379"/>
    <w:rsid w:val="00460F4F"/>
    <w:rsid w:val="004742BE"/>
    <w:rsid w:val="00480C08"/>
    <w:rsid w:val="00483F64"/>
    <w:rsid w:val="004A0AF5"/>
    <w:rsid w:val="004A3262"/>
    <w:rsid w:val="004B59C6"/>
    <w:rsid w:val="004C1679"/>
    <w:rsid w:val="004C2007"/>
    <w:rsid w:val="004C327B"/>
    <w:rsid w:val="004C3557"/>
    <w:rsid w:val="004C36B0"/>
    <w:rsid w:val="004C4D58"/>
    <w:rsid w:val="004C4E29"/>
    <w:rsid w:val="004C6E33"/>
    <w:rsid w:val="004F06F7"/>
    <w:rsid w:val="004F3EDC"/>
    <w:rsid w:val="00502314"/>
    <w:rsid w:val="00502E49"/>
    <w:rsid w:val="005042FC"/>
    <w:rsid w:val="00513258"/>
    <w:rsid w:val="005367B9"/>
    <w:rsid w:val="00537FA4"/>
    <w:rsid w:val="005402A0"/>
    <w:rsid w:val="00540C70"/>
    <w:rsid w:val="00542993"/>
    <w:rsid w:val="005456E3"/>
    <w:rsid w:val="00555C14"/>
    <w:rsid w:val="00561689"/>
    <w:rsid w:val="00562C93"/>
    <w:rsid w:val="005632FD"/>
    <w:rsid w:val="00564829"/>
    <w:rsid w:val="00572206"/>
    <w:rsid w:val="005727EC"/>
    <w:rsid w:val="00587E08"/>
    <w:rsid w:val="0059271C"/>
    <w:rsid w:val="00593871"/>
    <w:rsid w:val="005A200E"/>
    <w:rsid w:val="005A28A4"/>
    <w:rsid w:val="005B0431"/>
    <w:rsid w:val="005B0A38"/>
    <w:rsid w:val="005B0B7D"/>
    <w:rsid w:val="005B2533"/>
    <w:rsid w:val="005C4B99"/>
    <w:rsid w:val="005D277A"/>
    <w:rsid w:val="005D4B01"/>
    <w:rsid w:val="005E0379"/>
    <w:rsid w:val="005E1A20"/>
    <w:rsid w:val="005E4A2A"/>
    <w:rsid w:val="005F21A7"/>
    <w:rsid w:val="006012DA"/>
    <w:rsid w:val="0060265F"/>
    <w:rsid w:val="00605A0A"/>
    <w:rsid w:val="00606EC7"/>
    <w:rsid w:val="00610391"/>
    <w:rsid w:val="00612309"/>
    <w:rsid w:val="00614DC0"/>
    <w:rsid w:val="006214CB"/>
    <w:rsid w:val="00630CFE"/>
    <w:rsid w:val="0063758E"/>
    <w:rsid w:val="0063797C"/>
    <w:rsid w:val="006412F8"/>
    <w:rsid w:val="0064225D"/>
    <w:rsid w:val="00647C45"/>
    <w:rsid w:val="006515BD"/>
    <w:rsid w:val="006548C3"/>
    <w:rsid w:val="006567A4"/>
    <w:rsid w:val="0067275C"/>
    <w:rsid w:val="006741BA"/>
    <w:rsid w:val="00680D00"/>
    <w:rsid w:val="006917CA"/>
    <w:rsid w:val="006A1B20"/>
    <w:rsid w:val="006A36B9"/>
    <w:rsid w:val="006A5ACD"/>
    <w:rsid w:val="006B778B"/>
    <w:rsid w:val="006C31F2"/>
    <w:rsid w:val="006C78E1"/>
    <w:rsid w:val="006C7EEE"/>
    <w:rsid w:val="006D0872"/>
    <w:rsid w:val="006D2771"/>
    <w:rsid w:val="006D6C98"/>
    <w:rsid w:val="006E146C"/>
    <w:rsid w:val="006E1D34"/>
    <w:rsid w:val="006E2D47"/>
    <w:rsid w:val="006F084A"/>
    <w:rsid w:val="006F3897"/>
    <w:rsid w:val="006F4D6F"/>
    <w:rsid w:val="00704C53"/>
    <w:rsid w:val="00711307"/>
    <w:rsid w:val="007166EC"/>
    <w:rsid w:val="0071760C"/>
    <w:rsid w:val="00724293"/>
    <w:rsid w:val="007246ED"/>
    <w:rsid w:val="00725AEB"/>
    <w:rsid w:val="00736707"/>
    <w:rsid w:val="00737861"/>
    <w:rsid w:val="00744A2F"/>
    <w:rsid w:val="007460D4"/>
    <w:rsid w:val="0074733F"/>
    <w:rsid w:val="00760E12"/>
    <w:rsid w:val="00763230"/>
    <w:rsid w:val="0076513D"/>
    <w:rsid w:val="00781658"/>
    <w:rsid w:val="00784FA2"/>
    <w:rsid w:val="007970F0"/>
    <w:rsid w:val="00797F58"/>
    <w:rsid w:val="007B01CE"/>
    <w:rsid w:val="007B09C9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12167"/>
    <w:rsid w:val="00813351"/>
    <w:rsid w:val="0082145D"/>
    <w:rsid w:val="0082320D"/>
    <w:rsid w:val="00824837"/>
    <w:rsid w:val="00824F35"/>
    <w:rsid w:val="00825172"/>
    <w:rsid w:val="00833870"/>
    <w:rsid w:val="0083447B"/>
    <w:rsid w:val="0083477F"/>
    <w:rsid w:val="0083539E"/>
    <w:rsid w:val="0083605C"/>
    <w:rsid w:val="00843D8C"/>
    <w:rsid w:val="0085466D"/>
    <w:rsid w:val="008623FD"/>
    <w:rsid w:val="0086671F"/>
    <w:rsid w:val="008703D3"/>
    <w:rsid w:val="0087056A"/>
    <w:rsid w:val="008756BC"/>
    <w:rsid w:val="00884A64"/>
    <w:rsid w:val="008945EA"/>
    <w:rsid w:val="00895A90"/>
    <w:rsid w:val="00895B3F"/>
    <w:rsid w:val="008A008D"/>
    <w:rsid w:val="008A38E3"/>
    <w:rsid w:val="008A4AF9"/>
    <w:rsid w:val="008A738C"/>
    <w:rsid w:val="008A78B6"/>
    <w:rsid w:val="008C09C4"/>
    <w:rsid w:val="008C65A6"/>
    <w:rsid w:val="008D1EB8"/>
    <w:rsid w:val="008F6E3E"/>
    <w:rsid w:val="0090127B"/>
    <w:rsid w:val="009027DA"/>
    <w:rsid w:val="00902979"/>
    <w:rsid w:val="009067E0"/>
    <w:rsid w:val="00906FFA"/>
    <w:rsid w:val="00914167"/>
    <w:rsid w:val="00920B0A"/>
    <w:rsid w:val="00923CD6"/>
    <w:rsid w:val="00923DE2"/>
    <w:rsid w:val="00924235"/>
    <w:rsid w:val="009308F5"/>
    <w:rsid w:val="009339D7"/>
    <w:rsid w:val="0093417F"/>
    <w:rsid w:val="0093443D"/>
    <w:rsid w:val="00935347"/>
    <w:rsid w:val="009353EA"/>
    <w:rsid w:val="00936EA8"/>
    <w:rsid w:val="00941C44"/>
    <w:rsid w:val="009423B8"/>
    <w:rsid w:val="00944266"/>
    <w:rsid w:val="00945B74"/>
    <w:rsid w:val="00951231"/>
    <w:rsid w:val="0096427A"/>
    <w:rsid w:val="009709AF"/>
    <w:rsid w:val="0097495D"/>
    <w:rsid w:val="00976DD7"/>
    <w:rsid w:val="00983692"/>
    <w:rsid w:val="00995914"/>
    <w:rsid w:val="00996CDB"/>
    <w:rsid w:val="00997662"/>
    <w:rsid w:val="009A3734"/>
    <w:rsid w:val="009A5E2B"/>
    <w:rsid w:val="009C1CE3"/>
    <w:rsid w:val="009C24CF"/>
    <w:rsid w:val="009C29B2"/>
    <w:rsid w:val="009D0CD0"/>
    <w:rsid w:val="009D33A8"/>
    <w:rsid w:val="009D3EF7"/>
    <w:rsid w:val="009D3F2E"/>
    <w:rsid w:val="009D6CC1"/>
    <w:rsid w:val="009D6D19"/>
    <w:rsid w:val="009E0425"/>
    <w:rsid w:val="009E17C2"/>
    <w:rsid w:val="009E184B"/>
    <w:rsid w:val="009E46F8"/>
    <w:rsid w:val="009F5037"/>
    <w:rsid w:val="009F57FC"/>
    <w:rsid w:val="00A006FB"/>
    <w:rsid w:val="00A02168"/>
    <w:rsid w:val="00A06025"/>
    <w:rsid w:val="00A10CAD"/>
    <w:rsid w:val="00A11A02"/>
    <w:rsid w:val="00A15F1D"/>
    <w:rsid w:val="00A211C9"/>
    <w:rsid w:val="00A26843"/>
    <w:rsid w:val="00A27B28"/>
    <w:rsid w:val="00A36FBE"/>
    <w:rsid w:val="00A40CBD"/>
    <w:rsid w:val="00A46802"/>
    <w:rsid w:val="00A63435"/>
    <w:rsid w:val="00A66C15"/>
    <w:rsid w:val="00A71059"/>
    <w:rsid w:val="00A71385"/>
    <w:rsid w:val="00A73466"/>
    <w:rsid w:val="00A761C6"/>
    <w:rsid w:val="00A7642C"/>
    <w:rsid w:val="00A77769"/>
    <w:rsid w:val="00A807CB"/>
    <w:rsid w:val="00A91DFD"/>
    <w:rsid w:val="00A9405D"/>
    <w:rsid w:val="00AA3B61"/>
    <w:rsid w:val="00AA5BC9"/>
    <w:rsid w:val="00AB2D30"/>
    <w:rsid w:val="00AB6F9E"/>
    <w:rsid w:val="00AC0A59"/>
    <w:rsid w:val="00AC2C9D"/>
    <w:rsid w:val="00AC7B1F"/>
    <w:rsid w:val="00AC7F9C"/>
    <w:rsid w:val="00AD1B65"/>
    <w:rsid w:val="00AD4BB1"/>
    <w:rsid w:val="00AD7BFB"/>
    <w:rsid w:val="00AE3C02"/>
    <w:rsid w:val="00AE56D8"/>
    <w:rsid w:val="00AF298C"/>
    <w:rsid w:val="00B06B3C"/>
    <w:rsid w:val="00B13B51"/>
    <w:rsid w:val="00B14406"/>
    <w:rsid w:val="00B14D3C"/>
    <w:rsid w:val="00B15F66"/>
    <w:rsid w:val="00B22C2A"/>
    <w:rsid w:val="00B23E28"/>
    <w:rsid w:val="00B461AC"/>
    <w:rsid w:val="00B500E1"/>
    <w:rsid w:val="00B659CA"/>
    <w:rsid w:val="00B7390E"/>
    <w:rsid w:val="00B849CF"/>
    <w:rsid w:val="00B90167"/>
    <w:rsid w:val="00B905CB"/>
    <w:rsid w:val="00B90F88"/>
    <w:rsid w:val="00B94D51"/>
    <w:rsid w:val="00B9500F"/>
    <w:rsid w:val="00B97226"/>
    <w:rsid w:val="00BA4FA7"/>
    <w:rsid w:val="00BA606B"/>
    <w:rsid w:val="00BA7F88"/>
    <w:rsid w:val="00BB141F"/>
    <w:rsid w:val="00BB39CE"/>
    <w:rsid w:val="00BC3EB3"/>
    <w:rsid w:val="00BD02BA"/>
    <w:rsid w:val="00BD385F"/>
    <w:rsid w:val="00BE11AC"/>
    <w:rsid w:val="00BF09D8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451CA"/>
    <w:rsid w:val="00C46902"/>
    <w:rsid w:val="00C51BB2"/>
    <w:rsid w:val="00C55C42"/>
    <w:rsid w:val="00C563AB"/>
    <w:rsid w:val="00C56C9F"/>
    <w:rsid w:val="00C577D5"/>
    <w:rsid w:val="00C57BEF"/>
    <w:rsid w:val="00C71F7D"/>
    <w:rsid w:val="00C81254"/>
    <w:rsid w:val="00C8661D"/>
    <w:rsid w:val="00C92244"/>
    <w:rsid w:val="00C93ECA"/>
    <w:rsid w:val="00CA034D"/>
    <w:rsid w:val="00CA1942"/>
    <w:rsid w:val="00CA6B67"/>
    <w:rsid w:val="00CA74BC"/>
    <w:rsid w:val="00CB251D"/>
    <w:rsid w:val="00CB4B04"/>
    <w:rsid w:val="00CB5D6B"/>
    <w:rsid w:val="00CC59FC"/>
    <w:rsid w:val="00CC63A7"/>
    <w:rsid w:val="00CC77BF"/>
    <w:rsid w:val="00CD7FEC"/>
    <w:rsid w:val="00CE3EE3"/>
    <w:rsid w:val="00CE74F8"/>
    <w:rsid w:val="00CF37DC"/>
    <w:rsid w:val="00CF3A76"/>
    <w:rsid w:val="00CF4F36"/>
    <w:rsid w:val="00CF7FCD"/>
    <w:rsid w:val="00D0482D"/>
    <w:rsid w:val="00D0594D"/>
    <w:rsid w:val="00D06EDA"/>
    <w:rsid w:val="00D108AF"/>
    <w:rsid w:val="00D11505"/>
    <w:rsid w:val="00D15ACF"/>
    <w:rsid w:val="00D17581"/>
    <w:rsid w:val="00D17976"/>
    <w:rsid w:val="00D21530"/>
    <w:rsid w:val="00D36E11"/>
    <w:rsid w:val="00D37252"/>
    <w:rsid w:val="00D374FE"/>
    <w:rsid w:val="00D444BA"/>
    <w:rsid w:val="00D54396"/>
    <w:rsid w:val="00D55F8C"/>
    <w:rsid w:val="00D5705F"/>
    <w:rsid w:val="00D6126F"/>
    <w:rsid w:val="00D64073"/>
    <w:rsid w:val="00D66CBE"/>
    <w:rsid w:val="00D66F15"/>
    <w:rsid w:val="00D72B31"/>
    <w:rsid w:val="00D767EE"/>
    <w:rsid w:val="00D77C6E"/>
    <w:rsid w:val="00D836E0"/>
    <w:rsid w:val="00D8427A"/>
    <w:rsid w:val="00D87452"/>
    <w:rsid w:val="00D9038A"/>
    <w:rsid w:val="00D914F3"/>
    <w:rsid w:val="00D91AAF"/>
    <w:rsid w:val="00D97F26"/>
    <w:rsid w:val="00DA7493"/>
    <w:rsid w:val="00DB56EC"/>
    <w:rsid w:val="00DC1E46"/>
    <w:rsid w:val="00DC2779"/>
    <w:rsid w:val="00DC38DD"/>
    <w:rsid w:val="00DC628B"/>
    <w:rsid w:val="00DC6B84"/>
    <w:rsid w:val="00DD50E5"/>
    <w:rsid w:val="00DD510C"/>
    <w:rsid w:val="00DE2FC3"/>
    <w:rsid w:val="00DE69FC"/>
    <w:rsid w:val="00DE7969"/>
    <w:rsid w:val="00DE7FCB"/>
    <w:rsid w:val="00DF1BEB"/>
    <w:rsid w:val="00DF4841"/>
    <w:rsid w:val="00DF7F53"/>
    <w:rsid w:val="00E00976"/>
    <w:rsid w:val="00E00DA2"/>
    <w:rsid w:val="00E11186"/>
    <w:rsid w:val="00E146BF"/>
    <w:rsid w:val="00E17B87"/>
    <w:rsid w:val="00E26613"/>
    <w:rsid w:val="00E2750D"/>
    <w:rsid w:val="00E4339E"/>
    <w:rsid w:val="00E4384E"/>
    <w:rsid w:val="00E54424"/>
    <w:rsid w:val="00E562AA"/>
    <w:rsid w:val="00E60D26"/>
    <w:rsid w:val="00E61788"/>
    <w:rsid w:val="00E62804"/>
    <w:rsid w:val="00E62FA7"/>
    <w:rsid w:val="00E67A3A"/>
    <w:rsid w:val="00E71C9F"/>
    <w:rsid w:val="00E75A03"/>
    <w:rsid w:val="00EA068E"/>
    <w:rsid w:val="00EA0D9B"/>
    <w:rsid w:val="00EA6F5D"/>
    <w:rsid w:val="00EB3F8D"/>
    <w:rsid w:val="00EC236B"/>
    <w:rsid w:val="00EC5541"/>
    <w:rsid w:val="00EC79C0"/>
    <w:rsid w:val="00ED1FE7"/>
    <w:rsid w:val="00ED3C6E"/>
    <w:rsid w:val="00ED7318"/>
    <w:rsid w:val="00EE45C5"/>
    <w:rsid w:val="00EE5594"/>
    <w:rsid w:val="00EE7935"/>
    <w:rsid w:val="00EF3564"/>
    <w:rsid w:val="00F05A1E"/>
    <w:rsid w:val="00F10FBE"/>
    <w:rsid w:val="00F1458B"/>
    <w:rsid w:val="00F168A7"/>
    <w:rsid w:val="00F22830"/>
    <w:rsid w:val="00F2338D"/>
    <w:rsid w:val="00F25C07"/>
    <w:rsid w:val="00F5484C"/>
    <w:rsid w:val="00F56B0B"/>
    <w:rsid w:val="00F60BB9"/>
    <w:rsid w:val="00F611CD"/>
    <w:rsid w:val="00F62A20"/>
    <w:rsid w:val="00F646E1"/>
    <w:rsid w:val="00F7179D"/>
    <w:rsid w:val="00F81DB5"/>
    <w:rsid w:val="00F841F1"/>
    <w:rsid w:val="00F91F8E"/>
    <w:rsid w:val="00F9456E"/>
    <w:rsid w:val="00FA3AD1"/>
    <w:rsid w:val="00FA6A06"/>
    <w:rsid w:val="00FB1336"/>
    <w:rsid w:val="00FB1E67"/>
    <w:rsid w:val="00FB3B20"/>
    <w:rsid w:val="00FB3D70"/>
    <w:rsid w:val="00FC3263"/>
    <w:rsid w:val="00FC5C60"/>
    <w:rsid w:val="00FD2031"/>
    <w:rsid w:val="00FD2243"/>
    <w:rsid w:val="00FD3550"/>
    <w:rsid w:val="00FD52BB"/>
    <w:rsid w:val="00FE7611"/>
    <w:rsid w:val="00FE7EC9"/>
    <w:rsid w:val="00FF08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6396-3D06-4C84-82D6-C82C1F52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517</cp:revision>
  <cp:lastPrinted>2022-05-26T04:38:00Z</cp:lastPrinted>
  <dcterms:created xsi:type="dcterms:W3CDTF">2018-05-18T12:45:00Z</dcterms:created>
  <dcterms:modified xsi:type="dcterms:W3CDTF">2022-09-30T03:43:00Z</dcterms:modified>
</cp:coreProperties>
</file>